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427C1" w14:textId="5A5EEB74" w:rsidR="003E6C76" w:rsidRPr="00B266B0" w:rsidRDefault="003E6C76" w:rsidP="003E6C76">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WG2 NR Adhoc #2</w:t>
      </w:r>
      <w:r w:rsidRPr="00B266B0">
        <w:rPr>
          <w:bCs/>
          <w:noProof w:val="0"/>
          <w:sz w:val="24"/>
          <w:szCs w:val="24"/>
        </w:rPr>
        <w:tab/>
      </w:r>
      <w:r w:rsidR="00D451FF" w:rsidRPr="00D451FF">
        <w:rPr>
          <w:bCs/>
          <w:noProof w:val="0"/>
          <w:sz w:val="24"/>
          <w:szCs w:val="24"/>
        </w:rPr>
        <w:t>R2-1706855</w:t>
      </w:r>
    </w:p>
    <w:p w14:paraId="15EDA1B7" w14:textId="01C5F886" w:rsidR="00B703DD" w:rsidRPr="00B266B0" w:rsidRDefault="003E6C76" w:rsidP="003E6C76">
      <w:pPr>
        <w:pStyle w:val="Header"/>
        <w:tabs>
          <w:tab w:val="right" w:pos="9639"/>
        </w:tabs>
        <w:rPr>
          <w:bCs/>
          <w:noProof w:val="0"/>
          <w:sz w:val="24"/>
          <w:szCs w:val="24"/>
        </w:rPr>
      </w:pPr>
      <w:r>
        <w:rPr>
          <w:rFonts w:eastAsia="SimSun"/>
          <w:noProof w:val="0"/>
          <w:sz w:val="24"/>
          <w:szCs w:val="24"/>
          <w:lang w:eastAsia="zh-CN"/>
        </w:rPr>
        <w:t>Qingdao</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27 - 29 June </w:t>
      </w:r>
      <w:r w:rsidRPr="00C24650">
        <w:rPr>
          <w:rFonts w:eastAsia="SimSun"/>
          <w:noProof w:val="0"/>
          <w:sz w:val="24"/>
          <w:szCs w:val="24"/>
          <w:lang w:eastAsia="zh-CN"/>
        </w:rPr>
        <w:t>201</w:t>
      </w:r>
      <w:r>
        <w:rPr>
          <w:rFonts w:eastAsia="SimSun"/>
          <w:noProof w:val="0"/>
          <w:sz w:val="24"/>
          <w:szCs w:val="24"/>
          <w:lang w:eastAsia="zh-CN"/>
        </w:rPr>
        <w:t>7</w:t>
      </w:r>
    </w:p>
    <w:p w14:paraId="586197C9" w14:textId="77777777" w:rsidR="00B703DD" w:rsidRPr="00B266B0" w:rsidRDefault="00B703DD" w:rsidP="00B703DD">
      <w:pPr>
        <w:pStyle w:val="Header"/>
        <w:rPr>
          <w:bCs/>
          <w:noProof w:val="0"/>
          <w:sz w:val="24"/>
        </w:rPr>
      </w:pPr>
    </w:p>
    <w:p w14:paraId="3308DD9A" w14:textId="7037D35A" w:rsidR="00B703DD" w:rsidRPr="00B266B0" w:rsidRDefault="00B703DD" w:rsidP="00B703DD">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451FF" w:rsidRPr="00D451FF">
        <w:rPr>
          <w:rFonts w:cs="Arial"/>
          <w:b/>
          <w:bCs/>
          <w:sz w:val="24"/>
        </w:rPr>
        <w:t>10.2.9</w:t>
      </w:r>
    </w:p>
    <w:p w14:paraId="762A1FC7" w14:textId="77777777" w:rsidR="00B703DD" w:rsidRPr="00B266B0" w:rsidRDefault="00B703DD" w:rsidP="00B703D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49121665" w14:textId="01194F4B" w:rsidR="00B703DD" w:rsidRDefault="00B703DD" w:rsidP="00B703D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UE measurements upon S-RLF </w:t>
      </w:r>
      <w:r w:rsidR="00D451FF">
        <w:rPr>
          <w:rFonts w:ascii="Arial" w:hAnsi="Arial" w:cs="Arial"/>
          <w:b/>
          <w:bCs/>
          <w:sz w:val="24"/>
        </w:rPr>
        <w:t>for MR-DC</w:t>
      </w:r>
    </w:p>
    <w:p w14:paraId="55F1F955" w14:textId="77777777" w:rsidR="00B703DD" w:rsidRPr="00B266B0" w:rsidRDefault="00B703DD" w:rsidP="00B703D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4F42A2">
        <w:rPr>
          <w:rFonts w:ascii="Arial" w:hAnsi="Arial" w:cs="Arial"/>
          <w:b/>
          <w:bCs/>
          <w:sz w:val="24"/>
        </w:rPr>
        <w:t>NR_newRAT (Release 15)</w:t>
      </w:r>
    </w:p>
    <w:p w14:paraId="7B197F59" w14:textId="1BE30F3E" w:rsidR="00B703DD" w:rsidRDefault="00B703DD" w:rsidP="00B703DD">
      <w:pPr>
        <w:pStyle w:val="Header"/>
        <w:tabs>
          <w:tab w:val="right" w:pos="9639"/>
        </w:tabs>
        <w:rPr>
          <w:rFonts w:cs="Arial"/>
          <w:bCs/>
          <w:sz w:val="24"/>
        </w:rPr>
      </w:pPr>
      <w:r>
        <w:rPr>
          <w:rFonts w:cs="Arial"/>
          <w:bCs/>
          <w:sz w:val="24"/>
        </w:rPr>
        <w:t xml:space="preserve">Document for:     </w:t>
      </w:r>
      <w:r w:rsidRPr="00B266B0">
        <w:rPr>
          <w:rFonts w:cs="Arial"/>
          <w:bCs/>
          <w:sz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8C5B2F6" w:rsidR="00CD4C7B" w:rsidRDefault="00B703DD" w:rsidP="00CD4C7B">
      <w:r>
        <w:t>During the RAN2#97-bis meeting in Spokane, the following agreements were made based on the outcome of the discussions on SCG RLF handling.</w:t>
      </w:r>
    </w:p>
    <w:p w14:paraId="0B25C929"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Agreements:</w:t>
      </w:r>
    </w:p>
    <w:p w14:paraId="43A2D32E"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1: In LTE-NR DC, following SgNB failure cases need to be supported:</w:t>
      </w:r>
    </w:p>
    <w:p w14:paraId="588C68C5"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SgNB RLF;</w:t>
      </w:r>
    </w:p>
    <w:p w14:paraId="1D9C3E56"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SgNB change failure;</w:t>
      </w:r>
    </w:p>
    <w:p w14:paraId="0E102AE2"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exceeding the maximum uplink transmission timing difference (if EN-DC supports the synchronised operation case which is RAN1 decision);</w:t>
      </w:r>
    </w:p>
    <w:p w14:paraId="1D49D813"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SgNB configuration failure (only for message on SCG SRB);</w:t>
      </w:r>
    </w:p>
    <w:p w14:paraId="34F31EAE"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SgNB RRC integrity check failure;</w:t>
      </w:r>
    </w:p>
    <w:p w14:paraId="6DECC184"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2: In LTE-NR DC, the UE shall report the SCGFailureInformation to the MeNB instead of triggering the reestablishment upon SgNB failure.</w:t>
      </w:r>
    </w:p>
    <w:p w14:paraId="2EC8C9A8"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 xml:space="preserve">3: </w:t>
      </w:r>
      <w:r w:rsidRPr="00B703DD">
        <w:rPr>
          <w:rFonts w:ascii="Times New Roman" w:eastAsia="Times New Roman" w:hAnsi="Times New Roman"/>
          <w:szCs w:val="20"/>
          <w:lang w:eastAsia="en-US"/>
        </w:rPr>
        <w:tab/>
        <w:t>Upon SgNB failures, UE shall:</w:t>
      </w:r>
    </w:p>
    <w:p w14:paraId="67ED10AA"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Suspend all SCG DRBs and suspend SCG transmission for MCG split DRBs, and SCG split DRBs;</w:t>
      </w:r>
    </w:p>
    <w:p w14:paraId="0CA53369"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Suspend direct SCG SRB and SCG transmission for MCG split SRB;</w:t>
      </w:r>
    </w:p>
    <w:p w14:paraId="38B1FAF8" w14:textId="0FA96AE9"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Reset SCG-MAC;</w:t>
      </w:r>
    </w:p>
    <w:p w14:paraId="717732DA" w14:textId="34961AAB"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send the SCGFailureInformation message to the MeNB with corresponding cause values.</w:t>
      </w:r>
    </w:p>
    <w:p w14:paraId="79A95AA6" w14:textId="77777777" w:rsidR="00535928" w:rsidRDefault="00535928" w:rsidP="00CD4C7B"/>
    <w:p w14:paraId="3B5CD4CA" w14:textId="2238D753" w:rsidR="00B703DD" w:rsidRPr="006E13D1" w:rsidRDefault="00B703DD" w:rsidP="00CD4C7B">
      <w:r>
        <w:t xml:space="preserve">In this discussion paper, we propose to discuss the aspects linked to measurements performed by the UE post SCG RLF. </w:t>
      </w:r>
    </w:p>
    <w:p w14:paraId="127ACA6D" w14:textId="63D0C2B0" w:rsidR="00CD4C7B" w:rsidRPr="006E13D1" w:rsidRDefault="00CD4C7B" w:rsidP="00CD4C7B">
      <w:pPr>
        <w:pStyle w:val="Heading1"/>
      </w:pPr>
      <w:r w:rsidRPr="006E13D1">
        <w:t>2</w:t>
      </w:r>
      <w:r w:rsidRPr="006E13D1">
        <w:tab/>
      </w:r>
      <w:r w:rsidR="00B703DD">
        <w:t>Background</w:t>
      </w:r>
    </w:p>
    <w:p w14:paraId="30AFF164" w14:textId="77777777" w:rsidR="00B703DD" w:rsidRDefault="00B703DD" w:rsidP="00CD4C7B">
      <w:r>
        <w:t>In</w:t>
      </w:r>
      <w:r w:rsidRPr="00B703DD">
        <w:t xml:space="preserve"> LTE DC, a UE monitors the radio quality of the SeNB PSCell via</w:t>
      </w:r>
      <w:r>
        <w:t>.</w:t>
      </w:r>
      <w:r w:rsidRPr="00B703DD">
        <w:t xml:space="preserve"> similar radio link monitoring (RLM) procedures as for MeNB PCell. This is called secondary radio link monitoring (S-RLM) and the occurrence of UE detecting the radio link failure (RLF) of PSCell is referred to as secondary RLF (S-RLF). When S-RLF occurs, the UE stops utilizing the radio resources of the SeNB (i.e., suspends the Secondary Cell Group (SCG) by no longer attempting to receive DL or send UL towards the SeNB) and indicates the failure to MeNB via uplink (using the message “secondary cell group (SCG) failure report”), but continues to measure SCell(s) of the SeNB in the same manner as before S-RLF. The measurements are performed as per the activation status of the SCells prior to S-RLF, which means the UE may be using either activated or deactivated SCell requirements for the measurements. </w:t>
      </w:r>
    </w:p>
    <w:p w14:paraId="07F693AC" w14:textId="42FEB4C1" w:rsidR="00B703DD" w:rsidRDefault="00B703DD" w:rsidP="00CD4C7B">
      <w:r w:rsidRPr="00B703DD">
        <w:t>In case the UE is using deactivated SCell measurement requirements, the UE is not required to measure the deactivated SCells as frequently as activated SCells, as controlled by the RRC parameter measCycleSCell-r10 (which is configured in MeasObjectEUTRA for each SCell frequency). The measCycleSCell parameter is used only when an SCell is configured on the frequency indicated by the measObject and is in deactivated state (e.g., see</w:t>
      </w:r>
      <w:r w:rsidR="00D30C9B">
        <w:t xml:space="preserve"> [1]</w:t>
      </w:r>
      <w:r w:rsidRPr="00B703DD">
        <w:t xml:space="preserve">). </w:t>
      </w:r>
      <w:r w:rsidR="00D30C9B">
        <w:t xml:space="preserve">Additionally, the </w:t>
      </w:r>
      <w:r w:rsidRPr="00B703DD">
        <w:t xml:space="preserve">E-UTRAN configures the parameter whenever an SCell is configured on the frequency indicated by the measObject, but the field may also be signalled when an SCell is not configured. </w:t>
      </w:r>
      <w:r w:rsidR="00D30C9B">
        <w:t>For example, v</w:t>
      </w:r>
      <w:r w:rsidRPr="00B703DD">
        <w:t>alue sf160 corresponds to 160 sub-frames, sf256 corresponds to 256 sub-frames and so on.</w:t>
      </w:r>
    </w:p>
    <w:p w14:paraId="40692FDF" w14:textId="339E413F" w:rsidR="00C136D1" w:rsidRDefault="00C136D1" w:rsidP="00CD4C7B">
      <w:r w:rsidRPr="00C136D1">
        <w:t xml:space="preserve">However, this means that upon S-RLF, UE continues measuring the SCell carriers in the same way as before. In LTE DC, this was not considered to be a large problem since it was up to MeNB to act per the S-RLF indication (“SCG failure report”), and MeNB was fully aware of the UE measurement configuration and was controlling the SeNB SCell mobility fully, and could react to the occurrence of the S-RLF. However, with LTE-NR DC, the SgNB is in control of </w:t>
      </w:r>
      <w:r w:rsidRPr="00C136D1">
        <w:lastRenderedPageBreak/>
        <w:t>the mobility, and the SgNB leg may also fail differently due to, for example, the beam management procedures with higher carrier frequencies or due to LOS blockage occurring.</w:t>
      </w:r>
      <w:r>
        <w:t xml:space="preserve"> </w:t>
      </w:r>
      <w:r w:rsidRPr="00C136D1">
        <w:t>Also, since the SgNB is responsible to handling the mobility within the NR system and the MeNB may not even comprehend the measurement events configured by the SgNB, the MeNB may not fully be aware of how to even react to the S-RLF indication received from the UE.</w:t>
      </w:r>
      <w:r w:rsidR="0045336E">
        <w:t xml:space="preserve"> Therefore, the SgNB must decide the measurement configuration for NR even after the SCG RLF.</w:t>
      </w:r>
    </w:p>
    <w:p w14:paraId="277B5B0B" w14:textId="52AAD201" w:rsidR="00D44885" w:rsidRDefault="00C136D1" w:rsidP="00CD4C7B">
      <w:pPr>
        <w:rPr>
          <w:b/>
        </w:rPr>
      </w:pPr>
      <w:r w:rsidRPr="00C136D1">
        <w:rPr>
          <w:b/>
        </w:rPr>
        <w:t xml:space="preserve">Observation 1: </w:t>
      </w:r>
      <w:r w:rsidR="00D44885">
        <w:rPr>
          <w:b/>
        </w:rPr>
        <w:t>Due to the spotty nature of NR coverage in early deployments, a more graceful recovery from S-RLF during LTE/NR DC operation is desirable</w:t>
      </w:r>
      <w:r w:rsidR="0045336E">
        <w:rPr>
          <w:b/>
        </w:rPr>
        <w:t xml:space="preserve">. </w:t>
      </w:r>
      <w:r w:rsidR="00D44885">
        <w:rPr>
          <w:b/>
        </w:rPr>
        <w:t xml:space="preserve"> </w:t>
      </w:r>
    </w:p>
    <w:p w14:paraId="490F0E05" w14:textId="06110C51" w:rsidR="00D44885" w:rsidRDefault="00D44885" w:rsidP="00CD4C7B">
      <w:pPr>
        <w:rPr>
          <w:b/>
        </w:rPr>
      </w:pPr>
      <w:r>
        <w:rPr>
          <w:b/>
        </w:rPr>
        <w:t>Observation 2</w:t>
      </w:r>
      <w:r w:rsidRPr="00C136D1">
        <w:rPr>
          <w:b/>
        </w:rPr>
        <w:t xml:space="preserve">: </w:t>
      </w:r>
      <w:r>
        <w:rPr>
          <w:b/>
        </w:rPr>
        <w:t xml:space="preserve">At least the </w:t>
      </w:r>
      <w:r w:rsidR="0045336E">
        <w:rPr>
          <w:b/>
        </w:rPr>
        <w:t>SgNB</w:t>
      </w:r>
      <w:r>
        <w:rPr>
          <w:b/>
        </w:rPr>
        <w:t xml:space="preserve"> must be able to change the way the UE measures </w:t>
      </w:r>
      <w:r w:rsidR="001E346E">
        <w:rPr>
          <w:b/>
        </w:rPr>
        <w:t xml:space="preserve">SCG </w:t>
      </w:r>
      <w:r>
        <w:rPr>
          <w:b/>
        </w:rPr>
        <w:t xml:space="preserve">SCells after SCG RLF is triggered. </w:t>
      </w:r>
    </w:p>
    <w:p w14:paraId="0481490B" w14:textId="6B9580C4" w:rsidR="00D44885" w:rsidRDefault="00A92394" w:rsidP="00CD4C7B">
      <w:r>
        <w:t>To allow the network to update the measurement rules to be followed by the UE before and after SCG RLF a timer could be configured.</w:t>
      </w:r>
      <w:r w:rsidR="00D44885" w:rsidRPr="00D44885">
        <w:t xml:space="preserve"> </w:t>
      </w:r>
      <w:r w:rsidR="00D44885">
        <w:t>When</w:t>
      </w:r>
      <w:r w:rsidR="00D44885" w:rsidRPr="00D44885">
        <w:t xml:space="preserve"> S-RLF </w:t>
      </w:r>
      <w:r w:rsidR="00D44885">
        <w:t>is triggered</w:t>
      </w:r>
      <w:r w:rsidR="00D44885" w:rsidRPr="00D44885">
        <w:t xml:space="preserve">, a UE may start </w:t>
      </w:r>
      <w:r>
        <w:t>this</w:t>
      </w:r>
      <w:r w:rsidR="00D44885" w:rsidRPr="00D44885">
        <w:t xml:space="preserve"> timer</w:t>
      </w:r>
      <w:r w:rsidR="00D44885">
        <w:t xml:space="preserve"> which dictates the time until which it needs to continue with the current measurement framework</w:t>
      </w:r>
      <w:r w:rsidR="00D44885" w:rsidRPr="00D44885">
        <w:t xml:space="preserve">. While the timer is running, the UE may continue measurements according to “activated SCell” requirements, i.e., nothing changes after S-RLF detection. When the </w:t>
      </w:r>
      <w:r>
        <w:t>timer</w:t>
      </w:r>
      <w:r w:rsidR="00D44885" w:rsidRPr="00D44885">
        <w:t xml:space="preserve"> expires, the UE may start utilizing measurement requirements </w:t>
      </w:r>
      <w:r>
        <w:t xml:space="preserve">as </w:t>
      </w:r>
      <w:r w:rsidRPr="00D44885">
        <w:t>per</w:t>
      </w:r>
      <w:r w:rsidR="00D44885" w:rsidRPr="00D44885">
        <w:t xml:space="preserve"> different requirements. For instance, these may be “deactivated SCell” requirements or “DRX cycle = x ms” requirements. </w:t>
      </w:r>
      <w:r>
        <w:t>The alteration of measurements may follow a waterfall model where the requirements are updated every time the timer expires. In this way, t</w:t>
      </w:r>
      <w:r w:rsidR="00D44885" w:rsidRPr="00D44885">
        <w:t xml:space="preserve">he UE may change its requirements in one or more steps towards the </w:t>
      </w:r>
      <w:r>
        <w:t>less stricter</w:t>
      </w:r>
      <w:r w:rsidR="00D44885" w:rsidRPr="00D44885">
        <w:t xml:space="preserve"> req</w:t>
      </w:r>
      <w:r>
        <w:t>uirements until it is closer to the requirements matching for example IDLE mode.</w:t>
      </w:r>
    </w:p>
    <w:p w14:paraId="685888C5" w14:textId="135CE21C" w:rsidR="00A92394" w:rsidRPr="00D44885" w:rsidRDefault="00A92394" w:rsidP="00CD4C7B">
      <w:r w:rsidRPr="00A92394">
        <w:t xml:space="preserve">Each time the UE changes its measurement requirements, the UE may propose and/or indicate this to the MeNB and SgNB (e.g., via the MeNB leg). Upon start of the timer, the UE may also send an indication to MeNB and/or SgNB of the current measurement results of detected cells. This indication may include, for example, the number of detected cells and their received power levels, suggested SgNB PCI/GCID along with measurement information, or an indication that no cell is detected at measured NR frequencies. </w:t>
      </w:r>
      <w:r>
        <w:t>This allows the network to steer the UE</w:t>
      </w:r>
      <w:r w:rsidRPr="00A92394">
        <w:t xml:space="preserve"> </w:t>
      </w:r>
      <w:r>
        <w:t xml:space="preserve">further as desired. Within the network, </w:t>
      </w:r>
      <w:r w:rsidRPr="00A92394">
        <w:t>a measurement coordination procedure may be executed between the MeNB and SgNB to agree on how the UE performs measurements during a S-RLF.</w:t>
      </w:r>
    </w:p>
    <w:p w14:paraId="43A12B72" w14:textId="122FD1AB" w:rsidR="00CD4C7B" w:rsidRPr="006E13D1" w:rsidRDefault="00747093" w:rsidP="00CD4C7B">
      <w:pPr>
        <w:pStyle w:val="Heading1"/>
      </w:pPr>
      <w:r>
        <w:t>3</w:t>
      </w:r>
      <w:r w:rsidR="00CD4C7B" w:rsidRPr="006E13D1">
        <w:tab/>
      </w:r>
      <w:r w:rsidR="00A92394">
        <w:t>Conclusion</w:t>
      </w:r>
    </w:p>
    <w:p w14:paraId="4766B816" w14:textId="732CBAC3" w:rsidR="00717B43" w:rsidRDefault="00A92394" w:rsidP="00A92394">
      <w:r>
        <w:t>In this discussion paper, we</w:t>
      </w:r>
      <w:r w:rsidR="00717B43">
        <w:t xml:space="preserve"> have discussed the need for the network to coordinate how the UE performs measurements after just after SCG RLF. We </w:t>
      </w:r>
      <w:r>
        <w:t xml:space="preserve">propose that the UE measurement requirements after S-RLF </w:t>
      </w:r>
      <w:r w:rsidR="00CE6C74">
        <w:t xml:space="preserve">continue to </w:t>
      </w:r>
      <w:r w:rsidR="00CE6C74" w:rsidRPr="003C01E8">
        <w:t xml:space="preserve">use connected mode DRX measurements or deactivated SCell measurements </w:t>
      </w:r>
      <w:r w:rsidR="00195AE9">
        <w:t>to continue measu</w:t>
      </w:r>
      <w:r w:rsidR="002675AD">
        <w:t>ring new cells.</w:t>
      </w:r>
      <w:r w:rsidR="00CE6C74">
        <w:t xml:space="preserve"> </w:t>
      </w:r>
    </w:p>
    <w:p w14:paraId="07F7007C" w14:textId="77777777" w:rsidR="00174A66" w:rsidRDefault="00174A66" w:rsidP="00174A66">
      <w:pPr>
        <w:rPr>
          <w:b/>
        </w:rPr>
      </w:pPr>
      <w:r w:rsidRPr="00C136D1">
        <w:rPr>
          <w:b/>
        </w:rPr>
        <w:t xml:space="preserve">Observation 1: </w:t>
      </w:r>
      <w:r>
        <w:rPr>
          <w:b/>
        </w:rPr>
        <w:t xml:space="preserve">Due to the spotty nature of NR coverage in early deployments, a more graceful recovery from S-RLF during LTE/NR DC operation is desirable.  </w:t>
      </w:r>
    </w:p>
    <w:p w14:paraId="46E84244" w14:textId="0B83B84B" w:rsidR="00174A66" w:rsidRDefault="00174A66" w:rsidP="00174A66">
      <w:pPr>
        <w:rPr>
          <w:b/>
        </w:rPr>
      </w:pPr>
      <w:r>
        <w:rPr>
          <w:b/>
        </w:rPr>
        <w:t>Observation 2</w:t>
      </w:r>
      <w:r w:rsidRPr="00C136D1">
        <w:rPr>
          <w:b/>
        </w:rPr>
        <w:t xml:space="preserve">: </w:t>
      </w:r>
      <w:r>
        <w:rPr>
          <w:b/>
        </w:rPr>
        <w:t>At least the SgNB must be able to change the way the UE measures SCG SCells after SCG RLF is triggered.</w:t>
      </w:r>
    </w:p>
    <w:p w14:paraId="5741CE7D" w14:textId="09B5CED5" w:rsidR="005F7BC9" w:rsidRDefault="005F7BC9" w:rsidP="00174A66">
      <w:pPr>
        <w:rPr>
          <w:b/>
        </w:rPr>
      </w:pPr>
      <w:r>
        <w:t>Based on the observations made in this discussion, we propose the following:</w:t>
      </w:r>
    </w:p>
    <w:p w14:paraId="607F20C4" w14:textId="7BD21E7B" w:rsidR="00717B43" w:rsidRPr="00717B43" w:rsidRDefault="00717B43" w:rsidP="00A92394">
      <w:pPr>
        <w:rPr>
          <w:b/>
        </w:rPr>
      </w:pPr>
      <w:r w:rsidRPr="00717B43">
        <w:rPr>
          <w:b/>
        </w:rPr>
        <w:t>Proposal 1: Allow network coordination to define how UE performs measurements after SCG RLF.</w:t>
      </w:r>
    </w:p>
    <w:p w14:paraId="20B765EC" w14:textId="0C13B982" w:rsidR="00717B43" w:rsidRPr="00717B43" w:rsidRDefault="00717B43" w:rsidP="00717B43">
      <w:pPr>
        <w:rPr>
          <w:b/>
        </w:rPr>
      </w:pPr>
      <w:r w:rsidRPr="00717B43">
        <w:rPr>
          <w:b/>
        </w:rPr>
        <w:t xml:space="preserve">Proposal </w:t>
      </w:r>
      <w:r>
        <w:rPr>
          <w:b/>
        </w:rPr>
        <w:t>2</w:t>
      </w:r>
      <w:r w:rsidRPr="00717B43">
        <w:rPr>
          <w:b/>
        </w:rPr>
        <w:t xml:space="preserve">: </w:t>
      </w:r>
      <w:r>
        <w:rPr>
          <w:b/>
        </w:rPr>
        <w:t xml:space="preserve">At least the signalling of </w:t>
      </w:r>
      <w:r w:rsidR="00740486">
        <w:rPr>
          <w:b/>
        </w:rPr>
        <w:t>the measurement</w:t>
      </w:r>
      <w:r>
        <w:rPr>
          <w:b/>
        </w:rPr>
        <w:t xml:space="preserve"> configuration</w:t>
      </w:r>
      <w:r w:rsidR="00740486">
        <w:rPr>
          <w:b/>
        </w:rPr>
        <w:t xml:space="preserve"> post SCG RLF</w:t>
      </w:r>
      <w:r>
        <w:rPr>
          <w:b/>
        </w:rPr>
        <w:t xml:space="preserve"> is performed during the initial SgNB addition</w:t>
      </w:r>
      <w:r w:rsidR="00E841AF">
        <w:rPr>
          <w:b/>
        </w:rPr>
        <w:t>.</w:t>
      </w:r>
    </w:p>
    <w:p w14:paraId="03E9BBD7" w14:textId="1793947F" w:rsidR="00717B43" w:rsidRDefault="00717B43" w:rsidP="00A92394">
      <w:pPr>
        <w:rPr>
          <w:b/>
        </w:rPr>
      </w:pPr>
      <w:r w:rsidRPr="00717B43">
        <w:rPr>
          <w:b/>
        </w:rPr>
        <w:t xml:space="preserve">Proposal </w:t>
      </w:r>
      <w:r>
        <w:rPr>
          <w:b/>
        </w:rPr>
        <w:t>3</w:t>
      </w:r>
      <w:r w:rsidRPr="00717B43">
        <w:rPr>
          <w:b/>
        </w:rPr>
        <w:t xml:space="preserve">: </w:t>
      </w:r>
      <w:r>
        <w:rPr>
          <w:b/>
        </w:rPr>
        <w:t xml:space="preserve">Allow the UE to indicate the change </w:t>
      </w:r>
      <w:r w:rsidR="00E841AF">
        <w:rPr>
          <w:b/>
        </w:rPr>
        <w:t>in its measurement</w:t>
      </w:r>
      <w:r w:rsidR="00F663C9">
        <w:rPr>
          <w:b/>
        </w:rPr>
        <w:t xml:space="preserve"> requirements via</w:t>
      </w:r>
      <w:r>
        <w:rPr>
          <w:b/>
        </w:rPr>
        <w:t xml:space="preserve"> the SCG Failure Indication message and via the RRC measurement report.</w:t>
      </w:r>
    </w:p>
    <w:p w14:paraId="7A5E1960" w14:textId="12D0F4B5" w:rsidR="00717B43" w:rsidRPr="00717B43" w:rsidRDefault="00717B43" w:rsidP="00A92394">
      <w:pPr>
        <w:rPr>
          <w:b/>
        </w:rPr>
      </w:pPr>
      <w:r w:rsidRPr="00717B43">
        <w:rPr>
          <w:b/>
        </w:rPr>
        <w:t xml:space="preserve">Proposal </w:t>
      </w:r>
      <w:r>
        <w:rPr>
          <w:b/>
        </w:rPr>
        <w:t>4</w:t>
      </w:r>
      <w:r w:rsidRPr="00717B43">
        <w:rPr>
          <w:b/>
        </w:rPr>
        <w:t xml:space="preserve">: </w:t>
      </w:r>
      <w:r>
        <w:rPr>
          <w:b/>
        </w:rPr>
        <w:t xml:space="preserve">Allow the UE to include information on </w:t>
      </w:r>
      <w:r w:rsidRPr="00717B43">
        <w:rPr>
          <w:b/>
        </w:rPr>
        <w:t>which cell</w:t>
      </w:r>
      <w:r>
        <w:rPr>
          <w:b/>
        </w:rPr>
        <w:t>(s), the</w:t>
      </w:r>
      <w:r w:rsidRPr="00717B43">
        <w:rPr>
          <w:b/>
        </w:rPr>
        <w:t xml:space="preserve"> UE would conside</w:t>
      </w:r>
      <w:r>
        <w:rPr>
          <w:b/>
        </w:rPr>
        <w:t>r to be suitable SgNB candidate; e.g.</w:t>
      </w:r>
      <w:r w:rsidRPr="00717B43">
        <w:rPr>
          <w:b/>
        </w:rPr>
        <w:t xml:space="preserve"> </w:t>
      </w:r>
      <w:r>
        <w:rPr>
          <w:b/>
        </w:rPr>
        <w:t xml:space="preserve">a </w:t>
      </w:r>
      <w:r w:rsidRPr="00717B43">
        <w:rPr>
          <w:b/>
        </w:rPr>
        <w:t>“best cell” indication from UE</w:t>
      </w:r>
      <w:r>
        <w:rPr>
          <w:b/>
        </w:rPr>
        <w:t xml:space="preserve"> </w:t>
      </w:r>
      <w:r w:rsidRPr="00717B43">
        <w:rPr>
          <w:b/>
        </w:rPr>
        <w:t>embedded within the SCG failure report or a separate measurement report triggered upon S-RLF detection</w:t>
      </w:r>
      <w:r>
        <w:rPr>
          <w:b/>
        </w:rPr>
        <w:t>.</w:t>
      </w:r>
    </w:p>
    <w:p w14:paraId="0FDCFAC2" w14:textId="77777777" w:rsidR="00CD4C7B" w:rsidRPr="006E13D1" w:rsidRDefault="00CD4C7B" w:rsidP="00CD4C7B">
      <w:pPr>
        <w:pStyle w:val="Heading1"/>
      </w:pPr>
      <w:r w:rsidRPr="006E13D1">
        <w:t>References</w:t>
      </w:r>
    </w:p>
    <w:p w14:paraId="35F222F4" w14:textId="1DEB9013" w:rsidR="00080512" w:rsidRPr="00CD4C7B" w:rsidRDefault="00D30C9B" w:rsidP="00CD4C7B">
      <w:pPr>
        <w:numPr>
          <w:ilvl w:val="0"/>
          <w:numId w:val="4"/>
        </w:numPr>
        <w:overflowPunct w:val="0"/>
        <w:autoSpaceDE w:val="0"/>
        <w:autoSpaceDN w:val="0"/>
        <w:adjustRightInd w:val="0"/>
        <w:textAlignment w:val="baseline"/>
      </w:pPr>
      <w:bookmarkStart w:id="2" w:name="_Ref75086397"/>
      <w:r w:rsidRPr="00D30C9B">
        <w:t>3GPP TS 36.133</w:t>
      </w:r>
      <w:r>
        <w:t xml:space="preserve">: </w:t>
      </w:r>
      <w:bookmarkEnd w:id="2"/>
      <w:r w:rsidR="00124EEB" w:rsidRPr="00167D04">
        <w:rPr>
          <w:i/>
        </w:rPr>
        <w:t xml:space="preserve">Evolved Universal Terrestrial Radio Access (E-UTRA); Requirements for support of radio resource management, </w:t>
      </w:r>
      <w:r w:rsidR="00124EEB" w:rsidRPr="00124EEB">
        <w:t>3GPP</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76DE4" w14:textId="77777777" w:rsidR="00AE3B83" w:rsidRDefault="00AE3B83">
      <w:r>
        <w:separator/>
      </w:r>
    </w:p>
  </w:endnote>
  <w:endnote w:type="continuationSeparator" w:id="0">
    <w:p w14:paraId="48A861F6" w14:textId="77777777" w:rsidR="00AE3B83" w:rsidRDefault="00AE3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4D9E2" w14:textId="77777777" w:rsidR="00AE3B83" w:rsidRDefault="00AE3B83">
      <w:r>
        <w:separator/>
      </w:r>
    </w:p>
  </w:footnote>
  <w:footnote w:type="continuationSeparator" w:id="0">
    <w:p w14:paraId="5C6DAF3B" w14:textId="77777777" w:rsidR="00AE3B83" w:rsidRDefault="00AE3B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24EEB"/>
    <w:rsid w:val="00145075"/>
    <w:rsid w:val="00167D04"/>
    <w:rsid w:val="001741A0"/>
    <w:rsid w:val="00174A66"/>
    <w:rsid w:val="00194CD0"/>
    <w:rsid w:val="00195AE9"/>
    <w:rsid w:val="001A2DE0"/>
    <w:rsid w:val="001B49C9"/>
    <w:rsid w:val="001E346E"/>
    <w:rsid w:val="001F168B"/>
    <w:rsid w:val="001F7831"/>
    <w:rsid w:val="00204045"/>
    <w:rsid w:val="00223984"/>
    <w:rsid w:val="0022606D"/>
    <w:rsid w:val="002675AD"/>
    <w:rsid w:val="002747EC"/>
    <w:rsid w:val="002855BF"/>
    <w:rsid w:val="002F0D22"/>
    <w:rsid w:val="003172DC"/>
    <w:rsid w:val="00326069"/>
    <w:rsid w:val="0035462D"/>
    <w:rsid w:val="003B40AD"/>
    <w:rsid w:val="003C4E37"/>
    <w:rsid w:val="003E16BE"/>
    <w:rsid w:val="003E6C76"/>
    <w:rsid w:val="00401855"/>
    <w:rsid w:val="0045336E"/>
    <w:rsid w:val="00456E1D"/>
    <w:rsid w:val="00467C82"/>
    <w:rsid w:val="00477455"/>
    <w:rsid w:val="00482364"/>
    <w:rsid w:val="004C296B"/>
    <w:rsid w:val="004D3578"/>
    <w:rsid w:val="004D380D"/>
    <w:rsid w:val="004E213A"/>
    <w:rsid w:val="00503171"/>
    <w:rsid w:val="00506C28"/>
    <w:rsid w:val="00534DA0"/>
    <w:rsid w:val="00535928"/>
    <w:rsid w:val="00543E6C"/>
    <w:rsid w:val="00565087"/>
    <w:rsid w:val="0056573F"/>
    <w:rsid w:val="005F7BC9"/>
    <w:rsid w:val="00611566"/>
    <w:rsid w:val="00631423"/>
    <w:rsid w:val="00646D99"/>
    <w:rsid w:val="00656910"/>
    <w:rsid w:val="006C66D8"/>
    <w:rsid w:val="006D1E24"/>
    <w:rsid w:val="006E1417"/>
    <w:rsid w:val="006F6A2C"/>
    <w:rsid w:val="00710201"/>
    <w:rsid w:val="00717B43"/>
    <w:rsid w:val="00734A5B"/>
    <w:rsid w:val="00740486"/>
    <w:rsid w:val="00744E76"/>
    <w:rsid w:val="00747093"/>
    <w:rsid w:val="00757D40"/>
    <w:rsid w:val="00781F0F"/>
    <w:rsid w:val="0078727C"/>
    <w:rsid w:val="0079049D"/>
    <w:rsid w:val="007B18D8"/>
    <w:rsid w:val="007C095F"/>
    <w:rsid w:val="007C6271"/>
    <w:rsid w:val="008028A4"/>
    <w:rsid w:val="00813245"/>
    <w:rsid w:val="008768CA"/>
    <w:rsid w:val="00877EF9"/>
    <w:rsid w:val="00880559"/>
    <w:rsid w:val="0089173D"/>
    <w:rsid w:val="008B5306"/>
    <w:rsid w:val="0090271F"/>
    <w:rsid w:val="00902DB9"/>
    <w:rsid w:val="0090466A"/>
    <w:rsid w:val="00936071"/>
    <w:rsid w:val="00940212"/>
    <w:rsid w:val="00942EC2"/>
    <w:rsid w:val="00961B32"/>
    <w:rsid w:val="00962D7A"/>
    <w:rsid w:val="00970DB3"/>
    <w:rsid w:val="00974BB0"/>
    <w:rsid w:val="009A0AF3"/>
    <w:rsid w:val="009B07CD"/>
    <w:rsid w:val="009C19E9"/>
    <w:rsid w:val="00A10F02"/>
    <w:rsid w:val="00A204CA"/>
    <w:rsid w:val="00A53724"/>
    <w:rsid w:val="00A64815"/>
    <w:rsid w:val="00A6484D"/>
    <w:rsid w:val="00A82346"/>
    <w:rsid w:val="00A92394"/>
    <w:rsid w:val="00A9671C"/>
    <w:rsid w:val="00AA1553"/>
    <w:rsid w:val="00AE3B83"/>
    <w:rsid w:val="00B15449"/>
    <w:rsid w:val="00B47FD1"/>
    <w:rsid w:val="00B516BB"/>
    <w:rsid w:val="00B703DD"/>
    <w:rsid w:val="00BD1CB8"/>
    <w:rsid w:val="00C12B51"/>
    <w:rsid w:val="00C136D1"/>
    <w:rsid w:val="00C24650"/>
    <w:rsid w:val="00C33079"/>
    <w:rsid w:val="00C83A13"/>
    <w:rsid w:val="00C9068C"/>
    <w:rsid w:val="00C92967"/>
    <w:rsid w:val="00CA3D0C"/>
    <w:rsid w:val="00CA654B"/>
    <w:rsid w:val="00CD4C7B"/>
    <w:rsid w:val="00CE6C74"/>
    <w:rsid w:val="00D30C9B"/>
    <w:rsid w:val="00D44885"/>
    <w:rsid w:val="00D451FF"/>
    <w:rsid w:val="00D738D6"/>
    <w:rsid w:val="00D80795"/>
    <w:rsid w:val="00D87E00"/>
    <w:rsid w:val="00D9134D"/>
    <w:rsid w:val="00D96D11"/>
    <w:rsid w:val="00DA7A03"/>
    <w:rsid w:val="00DB1818"/>
    <w:rsid w:val="00DC309B"/>
    <w:rsid w:val="00DC4DA2"/>
    <w:rsid w:val="00E62835"/>
    <w:rsid w:val="00E77645"/>
    <w:rsid w:val="00E83697"/>
    <w:rsid w:val="00E841AF"/>
    <w:rsid w:val="00E92283"/>
    <w:rsid w:val="00EC4A25"/>
    <w:rsid w:val="00F025A2"/>
    <w:rsid w:val="00F07388"/>
    <w:rsid w:val="00F2026E"/>
    <w:rsid w:val="00F2210A"/>
    <w:rsid w:val="00F37743"/>
    <w:rsid w:val="00F54A3D"/>
    <w:rsid w:val="00F653B8"/>
    <w:rsid w:val="00F663C9"/>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70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703DD"/>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SP-5AIRPNAIUNRU-859666464-401</_dlc_DocId>
    <_dlc_DocIdUrl xmlns="71c5aaf6-e6ce-465b-b873-5148d2a4c105">
      <Url>https://nokia.sharepoint.com/sites/c5g/e2earch/_layouts/15/DocIdRedir.aspx?ID=SP-5AIRPNAIUNRU-859666464-401</Url>
      <Description>SP-5AIRPNAIUNRU-859666464-401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9745B9-7F8F-492B-8862-043B3349126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0C6E8EF-AE70-49CA-8A04-AD0D3EF44608}">
  <ds:schemaRefs>
    <ds:schemaRef ds:uri="http://schemas.microsoft.com/sharepoint/v3/contenttype/forms"/>
  </ds:schemaRefs>
</ds:datastoreItem>
</file>

<file path=customXml/itemProps3.xml><?xml version="1.0" encoding="utf-8"?>
<ds:datastoreItem xmlns:ds="http://schemas.openxmlformats.org/officeDocument/2006/customXml" ds:itemID="{F3F0812C-1D4A-42D4-AE12-6F850FB788D3}">
  <ds:schemaRefs>
    <ds:schemaRef ds:uri="http://schemas.microsoft.com/sharepoint/events"/>
  </ds:schemaRefs>
</ds:datastoreItem>
</file>

<file path=customXml/itemProps4.xml><?xml version="1.0" encoding="utf-8"?>
<ds:datastoreItem xmlns:ds="http://schemas.openxmlformats.org/officeDocument/2006/customXml" ds:itemID="{DC19AA0B-5310-46B5-BA06-22DB83A1A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132</TotalTime>
  <Pages>1</Pages>
  <Words>1094</Words>
  <Characters>6241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7321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Ali, Amaanat (Nokia - FI/Espoo)</cp:lastModifiedBy>
  <cp:revision>38</cp:revision>
  <dcterms:created xsi:type="dcterms:W3CDTF">2016-08-12T03:53:00Z</dcterms:created>
  <dcterms:modified xsi:type="dcterms:W3CDTF">2017-06-17T06:07:00Z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18d0074a-5f4c-4953-9b67-049954bf41da</vt:lpwstr>
  </property>
</Properties>
</file>